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ascii="仿宋" w:hAnsi="仿宋" w:eastAsia="仿宋"/>
          <w:sz w:val="32"/>
          <w:szCs w:val="32"/>
        </w:rPr>
      </w:pPr>
    </w:p>
    <w:p>
      <w:pPr>
        <w:spacing w:line="600" w:lineRule="auto"/>
        <w:jc w:val="center"/>
        <w:rPr>
          <w:rFonts w:ascii="仿宋" w:hAnsi="仿宋" w:eastAsia="仿宋"/>
          <w:sz w:val="32"/>
          <w:szCs w:val="32"/>
        </w:rPr>
      </w:pPr>
    </w:p>
    <w:p>
      <w:pPr>
        <w:spacing w:line="600" w:lineRule="auto"/>
        <w:jc w:val="center"/>
        <w:rPr>
          <w:rFonts w:ascii="仿宋" w:hAnsi="仿宋" w:eastAsia="仿宋"/>
          <w:sz w:val="32"/>
          <w:szCs w:val="32"/>
        </w:rPr>
      </w:pPr>
    </w:p>
    <w:p>
      <w:pPr>
        <w:spacing w:line="600" w:lineRule="auto"/>
        <w:jc w:val="center"/>
        <w:rPr>
          <w:rFonts w:hint="eastAsia" w:ascii="仿宋" w:hAnsi="仿宋" w:eastAsia="仿宋"/>
          <w:b/>
          <w:bCs/>
          <w:sz w:val="32"/>
          <w:szCs w:val="32"/>
        </w:rPr>
      </w:pPr>
      <w:r>
        <w:rPr>
          <w:rFonts w:hint="eastAsia" w:ascii="仿宋" w:hAnsi="仿宋" w:eastAsia="仿宋"/>
          <w:b/>
          <w:bCs/>
          <w:sz w:val="32"/>
          <w:szCs w:val="32"/>
        </w:rPr>
        <w:t>三江汇金宝-青赢汇利</w:t>
      </w:r>
      <w:r>
        <w:rPr>
          <w:rFonts w:hint="eastAsia" w:ascii="仿宋" w:hAnsi="仿宋" w:eastAsia="仿宋"/>
          <w:b/>
          <w:bCs/>
          <w:sz w:val="32"/>
          <w:szCs w:val="32"/>
          <w:lang w:val="en-US" w:eastAsia="zh-CN"/>
        </w:rPr>
        <w:t>1</w:t>
      </w:r>
      <w:r>
        <w:rPr>
          <w:rFonts w:hint="eastAsia" w:ascii="仿宋" w:hAnsi="仿宋" w:eastAsia="仿宋"/>
          <w:b/>
          <w:bCs/>
          <w:sz w:val="32"/>
          <w:szCs w:val="32"/>
        </w:rPr>
        <w:t>M客户周期开</w:t>
      </w:r>
      <w:r>
        <w:rPr>
          <w:rFonts w:hint="eastAsia" w:ascii="仿宋" w:hAnsi="仿宋" w:eastAsia="仿宋"/>
          <w:b/>
          <w:bCs/>
          <w:sz w:val="32"/>
          <w:szCs w:val="32"/>
          <w:lang w:val="en-US" w:eastAsia="zh-CN"/>
        </w:rPr>
        <w:t>放</w:t>
      </w:r>
      <w:r>
        <w:rPr>
          <w:rFonts w:hint="eastAsia" w:ascii="仿宋" w:hAnsi="仿宋" w:eastAsia="仿宋"/>
          <w:b/>
          <w:bCs/>
          <w:sz w:val="32"/>
          <w:szCs w:val="32"/>
        </w:rPr>
        <w:t>式净值理财产品</w:t>
      </w:r>
    </w:p>
    <w:p>
      <w:pPr>
        <w:spacing w:line="600" w:lineRule="auto"/>
        <w:jc w:val="center"/>
        <w:rPr>
          <w:rFonts w:ascii="仿宋" w:hAnsi="仿宋" w:eastAsia="仿宋"/>
          <w:sz w:val="32"/>
          <w:szCs w:val="32"/>
        </w:rPr>
      </w:pPr>
      <w:r>
        <w:rPr>
          <w:rFonts w:hint="eastAsia" w:ascii="仿宋" w:hAnsi="仿宋" w:eastAsia="仿宋"/>
          <w:b/>
          <w:bCs/>
          <w:sz w:val="32"/>
          <w:szCs w:val="32"/>
          <w:lang w:val="en-US" w:eastAsia="zh-CN"/>
        </w:rPr>
        <w:t>2024年一季度</w:t>
      </w:r>
      <w:r>
        <w:rPr>
          <w:rFonts w:hint="eastAsia" w:ascii="仿宋" w:hAnsi="仿宋" w:eastAsia="仿宋"/>
          <w:b/>
          <w:bCs/>
          <w:sz w:val="32"/>
          <w:szCs w:val="32"/>
        </w:rPr>
        <w:t>报告</w:t>
      </w:r>
    </w:p>
    <w:p>
      <w:pPr>
        <w:spacing w:line="600" w:lineRule="auto"/>
        <w:jc w:val="center"/>
        <w:rPr>
          <w:rFonts w:hint="eastAsia" w:ascii="仿宋" w:hAnsi="仿宋" w:eastAsia="仿宋"/>
          <w:sz w:val="32"/>
          <w:szCs w:val="32"/>
        </w:rPr>
      </w:pPr>
    </w:p>
    <w:p>
      <w:pPr>
        <w:spacing w:line="600" w:lineRule="auto"/>
        <w:jc w:val="center"/>
        <w:rPr>
          <w:rFonts w:ascii="仿宋" w:hAnsi="仿宋" w:eastAsia="仿宋"/>
          <w:sz w:val="30"/>
          <w:szCs w:val="30"/>
        </w:rPr>
      </w:pPr>
    </w:p>
    <w:p>
      <w:pPr>
        <w:spacing w:line="600" w:lineRule="auto"/>
        <w:jc w:val="center"/>
        <w:rPr>
          <w:rFonts w:ascii="仿宋" w:hAnsi="仿宋" w:eastAsia="仿宋"/>
          <w:sz w:val="30"/>
          <w:szCs w:val="30"/>
        </w:rPr>
      </w:pPr>
      <w:bookmarkStart w:id="5" w:name="_GoBack"/>
      <w:bookmarkEnd w:id="5"/>
    </w:p>
    <w:p>
      <w:pPr>
        <w:spacing w:line="600" w:lineRule="auto"/>
        <w:jc w:val="center"/>
        <w:rPr>
          <w:rFonts w:ascii="仿宋" w:hAnsi="仿宋" w:eastAsia="仿宋"/>
          <w:sz w:val="30"/>
          <w:szCs w:val="30"/>
        </w:rPr>
      </w:pPr>
    </w:p>
    <w:p>
      <w:pPr>
        <w:spacing w:line="600" w:lineRule="auto"/>
        <w:jc w:val="center"/>
        <w:rPr>
          <w:rFonts w:ascii="仿宋" w:hAnsi="仿宋" w:eastAsia="仿宋"/>
          <w:sz w:val="30"/>
          <w:szCs w:val="30"/>
        </w:rPr>
      </w:pPr>
    </w:p>
    <w:p>
      <w:pPr>
        <w:spacing w:line="600" w:lineRule="auto"/>
        <w:jc w:val="center"/>
        <w:rPr>
          <w:rFonts w:ascii="仿宋" w:hAnsi="仿宋" w:eastAsia="仿宋"/>
          <w:sz w:val="30"/>
          <w:szCs w:val="30"/>
        </w:rPr>
      </w:pPr>
    </w:p>
    <w:p>
      <w:pPr>
        <w:spacing w:line="600" w:lineRule="auto"/>
        <w:jc w:val="center"/>
        <w:rPr>
          <w:rFonts w:ascii="仿宋" w:hAnsi="仿宋" w:eastAsia="仿宋"/>
          <w:sz w:val="30"/>
          <w:szCs w:val="30"/>
        </w:rPr>
      </w:pPr>
    </w:p>
    <w:p>
      <w:pPr>
        <w:spacing w:line="600" w:lineRule="auto"/>
        <w:jc w:val="center"/>
        <w:rPr>
          <w:rFonts w:ascii="仿宋" w:hAnsi="仿宋" w:eastAsia="仿宋"/>
          <w:sz w:val="30"/>
          <w:szCs w:val="30"/>
        </w:rPr>
      </w:pPr>
    </w:p>
    <w:p>
      <w:pPr>
        <w:spacing w:line="600" w:lineRule="auto"/>
        <w:jc w:val="center"/>
        <w:rPr>
          <w:rFonts w:hint="eastAsia" w:ascii="仿宋" w:hAnsi="仿宋" w:eastAsia="仿宋"/>
          <w:sz w:val="28"/>
          <w:szCs w:val="28"/>
        </w:rPr>
      </w:pPr>
      <w:r>
        <w:rPr>
          <w:rFonts w:hint="eastAsia" w:ascii="仿宋" w:hAnsi="仿宋" w:eastAsia="仿宋"/>
          <w:b/>
          <w:bCs/>
          <w:sz w:val="30"/>
          <w:szCs w:val="30"/>
        </w:rPr>
        <w:t>2</w:t>
      </w:r>
      <w:r>
        <w:rPr>
          <w:rFonts w:ascii="仿宋" w:hAnsi="仿宋" w:eastAsia="仿宋"/>
          <w:b/>
          <w:bCs/>
          <w:sz w:val="30"/>
          <w:szCs w:val="30"/>
        </w:rPr>
        <w:t>02</w:t>
      </w:r>
      <w:r>
        <w:rPr>
          <w:rFonts w:hint="eastAsia" w:ascii="仿宋" w:hAnsi="仿宋" w:eastAsia="仿宋"/>
          <w:b/>
          <w:bCs/>
          <w:sz w:val="30"/>
          <w:szCs w:val="30"/>
          <w:lang w:val="en-US" w:eastAsia="zh-CN"/>
        </w:rPr>
        <w:t>4</w:t>
      </w:r>
      <w:r>
        <w:rPr>
          <w:rFonts w:hint="eastAsia" w:ascii="仿宋" w:hAnsi="仿宋" w:eastAsia="仿宋"/>
          <w:b/>
          <w:bCs/>
          <w:sz w:val="30"/>
          <w:szCs w:val="30"/>
        </w:rPr>
        <w:t>年</w:t>
      </w:r>
      <w:r>
        <w:rPr>
          <w:rFonts w:hint="eastAsia" w:ascii="仿宋" w:hAnsi="仿宋" w:eastAsia="仿宋"/>
          <w:b/>
          <w:bCs/>
          <w:sz w:val="30"/>
          <w:szCs w:val="30"/>
          <w:lang w:val="en-US" w:eastAsia="zh-CN"/>
        </w:rPr>
        <w:t>3</w:t>
      </w:r>
      <w:r>
        <w:rPr>
          <w:rFonts w:hint="eastAsia" w:ascii="仿宋" w:hAnsi="仿宋" w:eastAsia="仿宋"/>
          <w:b/>
          <w:bCs/>
          <w:sz w:val="30"/>
          <w:szCs w:val="30"/>
        </w:rPr>
        <w:t>月</w:t>
      </w:r>
    </w:p>
    <w:p>
      <w:pPr>
        <w:pStyle w:val="21"/>
        <w:spacing w:line="480" w:lineRule="auto"/>
        <w:jc w:val="center"/>
        <w:rPr>
          <w:rFonts w:hint="eastAsia" w:ascii="仿宋" w:hAnsi="仿宋" w:eastAsia="仿宋" w:cs="仿宋"/>
          <w:lang w:val="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numPr>
          <w:ilvl w:val="0"/>
          <w:numId w:val="1"/>
        </w:numPr>
        <w:rPr>
          <w:rFonts w:hint="eastAsia" w:ascii="仿宋" w:hAnsi="仿宋" w:eastAsia="仿宋" w:cs="仿宋"/>
          <w:color w:val="auto"/>
          <w:sz w:val="28"/>
          <w:szCs w:val="28"/>
          <w:highlight w:val="none"/>
          <w:lang w:val="en-US" w:eastAsia="zh-CN"/>
        </w:rPr>
      </w:pPr>
      <w:bookmarkStart w:id="0" w:name="_Toc23906"/>
      <w:r>
        <w:rPr>
          <w:rFonts w:hint="eastAsia" w:ascii="仿宋" w:hAnsi="仿宋" w:eastAsia="仿宋" w:cs="仿宋"/>
          <w:color w:val="auto"/>
          <w:sz w:val="28"/>
          <w:szCs w:val="28"/>
          <w:highlight w:val="none"/>
          <w:lang w:val="en-US" w:eastAsia="zh-CN"/>
        </w:rPr>
        <w:t>产品基本情况</w:t>
      </w:r>
    </w:p>
    <w:tbl>
      <w:tblPr>
        <w:tblStyle w:val="12"/>
        <w:tblW w:w="7412" w:type="dxa"/>
        <w:jc w:val="center"/>
        <w:tblLayout w:type="fixed"/>
        <w:tblCellMar>
          <w:top w:w="15" w:type="dxa"/>
          <w:left w:w="15" w:type="dxa"/>
          <w:bottom w:w="15" w:type="dxa"/>
          <w:right w:w="15" w:type="dxa"/>
        </w:tblCellMar>
      </w:tblPr>
      <w:tblGrid>
        <w:gridCol w:w="2675"/>
        <w:gridCol w:w="4737"/>
      </w:tblGrid>
      <w:tr>
        <w:tblPrEx>
          <w:tblCellMar>
            <w:top w:w="15" w:type="dxa"/>
            <w:left w:w="15" w:type="dxa"/>
            <w:bottom w:w="15" w:type="dxa"/>
            <w:right w:w="15" w:type="dxa"/>
          </w:tblCellMar>
        </w:tblPrEx>
        <w:trPr>
          <w:trHeight w:val="389" w:hRule="atLeast"/>
          <w:jc w:val="center"/>
        </w:trPr>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产品名称</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Style w:val="23"/>
                <w:rFonts w:hint="eastAsia" w:ascii="仿宋" w:hAnsi="仿宋" w:eastAsia="仿宋" w:cs="仿宋"/>
                <w:color w:val="auto"/>
                <w:sz w:val="22"/>
                <w:szCs w:val="22"/>
                <w:highlight w:val="none"/>
              </w:rPr>
              <w:t>青赢汇利</w:t>
            </w:r>
            <w:r>
              <w:rPr>
                <w:rStyle w:val="23"/>
                <w:rFonts w:hint="eastAsia" w:ascii="仿宋" w:hAnsi="仿宋" w:eastAsia="仿宋" w:cs="仿宋"/>
                <w:color w:val="auto"/>
                <w:sz w:val="22"/>
                <w:szCs w:val="22"/>
                <w:highlight w:val="none"/>
                <w:lang w:val="en-US" w:eastAsia="zh-CN"/>
              </w:rPr>
              <w:t>1</w:t>
            </w:r>
            <w:r>
              <w:rPr>
                <w:rStyle w:val="23"/>
                <w:rFonts w:hint="eastAsia" w:ascii="仿宋" w:hAnsi="仿宋" w:eastAsia="仿宋" w:cs="仿宋"/>
                <w:color w:val="auto"/>
                <w:sz w:val="22"/>
                <w:szCs w:val="22"/>
                <w:highlight w:val="none"/>
              </w:rPr>
              <w:t>M客户周期开放式净值理财产品</w:t>
            </w:r>
          </w:p>
        </w:tc>
      </w:tr>
      <w:tr>
        <w:tblPrEx>
          <w:tblCellMar>
            <w:top w:w="15" w:type="dxa"/>
            <w:left w:w="15" w:type="dxa"/>
            <w:bottom w:w="15" w:type="dxa"/>
            <w:right w:w="15" w:type="dxa"/>
          </w:tblCellMar>
        </w:tblPrEx>
        <w:trPr>
          <w:trHeight w:val="389" w:hRule="atLeast"/>
          <w:jc w:val="center"/>
        </w:trPr>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产品代码</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10933023</w:t>
            </w:r>
          </w:p>
        </w:tc>
      </w:tr>
      <w:tr>
        <w:tblPrEx>
          <w:tblCellMar>
            <w:top w:w="15" w:type="dxa"/>
            <w:left w:w="15" w:type="dxa"/>
            <w:bottom w:w="15" w:type="dxa"/>
            <w:right w:w="15" w:type="dxa"/>
          </w:tblCellMar>
        </w:tblPrEx>
        <w:trPr>
          <w:trHeight w:val="389" w:hRule="atLeast"/>
          <w:jc w:val="center"/>
        </w:trPr>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登记编码</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C1093321000006</w:t>
            </w:r>
          </w:p>
        </w:tc>
      </w:tr>
      <w:tr>
        <w:tblPrEx>
          <w:tblCellMar>
            <w:top w:w="15" w:type="dxa"/>
            <w:left w:w="15" w:type="dxa"/>
            <w:bottom w:w="15" w:type="dxa"/>
            <w:right w:w="15" w:type="dxa"/>
          </w:tblCellMar>
        </w:tblPrEx>
        <w:trPr>
          <w:trHeight w:val="389" w:hRule="atLeast"/>
          <w:jc w:val="center"/>
        </w:trPr>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产品成立日</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rPr>
              <w:t>日</w:t>
            </w:r>
          </w:p>
        </w:tc>
      </w:tr>
      <w:tr>
        <w:tblPrEx>
          <w:tblCellMar>
            <w:top w:w="15" w:type="dxa"/>
            <w:left w:w="15" w:type="dxa"/>
            <w:bottom w:w="15" w:type="dxa"/>
            <w:right w:w="15" w:type="dxa"/>
          </w:tblCellMar>
        </w:tblPrEx>
        <w:trPr>
          <w:trHeight w:val="389" w:hRule="atLeast"/>
          <w:jc w:val="center"/>
        </w:trPr>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客户业绩比较基准</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2.9%/年</w:t>
            </w:r>
          </w:p>
        </w:tc>
      </w:tr>
      <w:tr>
        <w:tblPrEx>
          <w:tblCellMar>
            <w:top w:w="15" w:type="dxa"/>
            <w:left w:w="15" w:type="dxa"/>
            <w:bottom w:w="15" w:type="dxa"/>
            <w:right w:w="15" w:type="dxa"/>
          </w:tblCellMar>
        </w:tblPrEx>
        <w:trPr>
          <w:trHeight w:val="389" w:hRule="atLeast"/>
          <w:jc w:val="center"/>
        </w:trPr>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产品管理人名称</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Style w:val="24"/>
                <w:rFonts w:hint="eastAsia" w:ascii="仿宋" w:hAnsi="仿宋" w:eastAsia="仿宋" w:cs="仿宋"/>
                <w:color w:val="auto"/>
                <w:highlight w:val="none"/>
              </w:rPr>
              <w:t>青海银行股份有限公司</w:t>
            </w:r>
          </w:p>
        </w:tc>
      </w:tr>
      <w:tr>
        <w:tblPrEx>
          <w:tblCellMar>
            <w:top w:w="15" w:type="dxa"/>
            <w:left w:w="15" w:type="dxa"/>
            <w:bottom w:w="15" w:type="dxa"/>
            <w:right w:w="15" w:type="dxa"/>
          </w:tblCellMar>
        </w:tblPrEx>
        <w:trPr>
          <w:trHeight w:val="418" w:hRule="atLeast"/>
          <w:jc w:val="center"/>
        </w:trPr>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产品托管行名称</w:t>
            </w:r>
          </w:p>
        </w:tc>
        <w:tc>
          <w:tcPr>
            <w:tcW w:w="4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rPr>
              <w:t>南京</w:t>
            </w:r>
            <w:r>
              <w:rPr>
                <w:rFonts w:hint="eastAsia" w:ascii="仿宋" w:hAnsi="仿宋" w:eastAsia="仿宋" w:cs="仿宋"/>
                <w:color w:val="auto"/>
                <w:kern w:val="0"/>
                <w:sz w:val="22"/>
                <w:szCs w:val="22"/>
                <w:highlight w:val="none"/>
              </w:rPr>
              <w:t>银行股份有限公司</w:t>
            </w:r>
          </w:p>
        </w:tc>
      </w:tr>
    </w:tbl>
    <w:p>
      <w:pPr>
        <w:rPr>
          <w:rFonts w:hint="eastAsia"/>
          <w:color w:val="auto"/>
          <w:highlight w:val="none"/>
          <w:lang w:val="en-US" w:eastAsia="zh-CN"/>
        </w:rPr>
      </w:pPr>
    </w:p>
    <w:bookmarkEnd w:id="0"/>
    <w:p>
      <w:pPr>
        <w:spacing w:line="48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三江汇金宝-青赢汇利</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M客户周期开</w:t>
      </w:r>
      <w:r>
        <w:rPr>
          <w:rFonts w:hint="eastAsia" w:ascii="仿宋" w:hAnsi="仿宋" w:eastAsia="仿宋" w:cs="仿宋"/>
          <w:color w:val="auto"/>
          <w:sz w:val="24"/>
          <w:highlight w:val="none"/>
          <w:lang w:val="en-US" w:eastAsia="zh-CN"/>
        </w:rPr>
        <w:t>放</w:t>
      </w:r>
      <w:r>
        <w:rPr>
          <w:rFonts w:hint="eastAsia" w:ascii="仿宋" w:hAnsi="仿宋" w:eastAsia="仿宋" w:cs="仿宋"/>
          <w:color w:val="auto"/>
          <w:sz w:val="24"/>
          <w:highlight w:val="none"/>
        </w:rPr>
        <w:t>式净值理财产品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以下简称“1</w:t>
      </w:r>
      <w:r>
        <w:rPr>
          <w:rFonts w:hint="eastAsia" w:ascii="仿宋" w:hAnsi="仿宋" w:eastAsia="仿宋" w:cs="仿宋"/>
          <w:color w:val="auto"/>
          <w:sz w:val="24"/>
          <w:highlight w:val="none"/>
        </w:rPr>
        <w:t>M客户周期</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产品代码：</w:t>
      </w:r>
      <w:r>
        <w:rPr>
          <w:rFonts w:hint="eastAsia" w:ascii="仿宋" w:hAnsi="仿宋" w:eastAsia="仿宋" w:cs="仿宋"/>
          <w:color w:val="auto"/>
          <w:sz w:val="22"/>
          <w:szCs w:val="22"/>
          <w:highlight w:val="none"/>
        </w:rPr>
        <w:t>10933023</w:t>
      </w:r>
      <w:r>
        <w:rPr>
          <w:rFonts w:hint="eastAsia" w:ascii="仿宋" w:hAnsi="仿宋" w:eastAsia="仿宋" w:cs="仿宋"/>
          <w:color w:val="auto"/>
          <w:sz w:val="24"/>
          <w:highlight w:val="none"/>
          <w:lang w:val="en-US" w:eastAsia="zh-CN"/>
        </w:rPr>
        <w:t>，申报发行额度50亿元人民币，</w:t>
      </w:r>
      <w:r>
        <w:rPr>
          <w:rFonts w:hint="eastAsia" w:ascii="仿宋" w:hAnsi="仿宋" w:eastAsia="仿宋" w:cs="仿宋"/>
          <w:color w:val="auto"/>
          <w:sz w:val="24"/>
          <w:highlight w:val="none"/>
        </w:rPr>
        <w:t>申购确认日为每周</w:t>
      </w: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(节假日顺延)，</w:t>
      </w:r>
      <w:r>
        <w:rPr>
          <w:rFonts w:hint="eastAsia" w:ascii="仿宋" w:hAnsi="仿宋" w:eastAsia="仿宋" w:cs="仿宋"/>
          <w:color w:val="auto"/>
          <w:sz w:val="24"/>
          <w:highlight w:val="none"/>
          <w:lang w:val="en-US" w:eastAsia="zh-CN"/>
        </w:rPr>
        <w:t>每期产品</w:t>
      </w:r>
      <w:r>
        <w:rPr>
          <w:rFonts w:hint="eastAsia" w:ascii="仿宋" w:hAnsi="仿宋" w:eastAsia="仿宋" w:cs="仿宋"/>
          <w:color w:val="auto"/>
          <w:sz w:val="24"/>
          <w:highlight w:val="none"/>
        </w:rPr>
        <w:t>持有期限为</w:t>
      </w: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天。</w:t>
      </w:r>
      <w:r>
        <w:rPr>
          <w:rFonts w:hint="eastAsia" w:ascii="仿宋" w:hAnsi="仿宋" w:eastAsia="仿宋" w:cs="仿宋"/>
          <w:color w:val="auto"/>
          <w:sz w:val="24"/>
          <w:highlight w:val="none"/>
          <w:lang w:val="en-US" w:eastAsia="zh-CN"/>
        </w:rPr>
        <w:t>该产品首期于2021年9月6日开始发行申购，于2021年9月9日成立。截止报告期，该产品总计存续5周期，产品</w:t>
      </w:r>
      <w:r>
        <w:rPr>
          <w:rFonts w:hint="eastAsia" w:ascii="仿宋" w:hAnsi="仿宋" w:eastAsia="仿宋" w:cs="仿宋"/>
          <w:color w:val="auto"/>
          <w:sz w:val="24"/>
          <w:highlight w:val="none"/>
        </w:rPr>
        <w:t>存续余额</w:t>
      </w:r>
      <w:r>
        <w:rPr>
          <w:rFonts w:hint="eastAsia" w:ascii="仿宋" w:hAnsi="仿宋" w:eastAsia="仿宋" w:cs="仿宋"/>
          <w:color w:val="auto"/>
          <w:sz w:val="24"/>
          <w:highlight w:val="none"/>
          <w:lang w:val="en-US" w:eastAsia="zh-CN"/>
        </w:rPr>
        <w:t>为8,574.30万元人民币</w:t>
      </w:r>
      <w:r>
        <w:rPr>
          <w:rFonts w:hint="eastAsia" w:ascii="仿宋" w:hAnsi="仿宋" w:eastAsia="仿宋" w:cs="仿宋"/>
          <w:color w:val="auto"/>
          <w:sz w:val="24"/>
          <w:highlight w:val="none"/>
        </w:rPr>
        <w:t>。</w:t>
      </w:r>
    </w:p>
    <w:p>
      <w:pPr>
        <w:spacing w:line="480" w:lineRule="auto"/>
        <w:ind w:firstLine="42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目前，1M客户周期产品已陆续兑付60期；2024年一季度兑付13期，加权平均年化收益率为2.98%，</w:t>
      </w:r>
      <w:r>
        <w:rPr>
          <w:rFonts w:hint="eastAsia" w:ascii="仿宋" w:hAnsi="仿宋" w:eastAsia="仿宋" w:cs="仿宋"/>
          <w:sz w:val="24"/>
          <w:highlight w:val="none"/>
          <w:lang w:val="en-US" w:eastAsia="zh-CN"/>
        </w:rPr>
        <w:t>按照公告的业绩比较基准来计算，</w:t>
      </w:r>
      <w:r>
        <w:rPr>
          <w:rFonts w:hint="eastAsia" w:ascii="仿宋" w:hAnsi="仿宋" w:eastAsia="仿宋" w:cs="仿宋"/>
          <w:color w:val="auto"/>
          <w:sz w:val="24"/>
          <w:highlight w:val="none"/>
          <w:lang w:val="en-US" w:eastAsia="zh-CN"/>
        </w:rPr>
        <w:t>超业绩比较基准8Bp兑付客户。</w:t>
      </w:r>
    </w:p>
    <w:p>
      <w:pPr>
        <w:pStyle w:val="2"/>
        <w:numPr>
          <w:ilvl w:val="0"/>
          <w:numId w:val="1"/>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产品收益及投资情况</w:t>
      </w:r>
    </w:p>
    <w:p>
      <w:pPr>
        <w:pStyle w:val="3"/>
        <w:numPr>
          <w:ilvl w:val="0"/>
          <w:numId w:val="2"/>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产品申购净值及收益情况</w:t>
      </w:r>
    </w:p>
    <w:p>
      <w:pPr>
        <w:spacing w:line="480" w:lineRule="auto"/>
        <w:ind w:firstLine="420"/>
        <w:jc w:val="center"/>
        <w:rPr>
          <w:rFonts w:hint="eastAsia" w:ascii="仿宋" w:hAnsi="仿宋" w:eastAsia="仿宋" w:cs="仿宋"/>
          <w:color w:val="auto"/>
          <w:sz w:val="24"/>
          <w:highlight w:val="none"/>
          <w:lang w:val="en-US" w:eastAsia="zh-CN"/>
        </w:rPr>
      </w:pPr>
      <w:r>
        <w:rPr>
          <w:rFonts w:hint="eastAsia"/>
          <w:color w:val="auto"/>
          <w:highlight w:val="none"/>
          <w:lang w:val="en-US" w:eastAsia="zh-CN"/>
        </w:rPr>
        <w:drawing>
          <wp:inline distT="0" distB="0" distL="114300" distR="114300">
            <wp:extent cx="5269230" cy="3342005"/>
            <wp:effectExtent l="0" t="0" r="7620" b="10795"/>
            <wp:docPr id="3" name="图片 3" descr="微信截图_2024032915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329150709"/>
                    <pic:cNvPicPr>
                      <a:picLocks noChangeAspect="1"/>
                    </pic:cNvPicPr>
                  </pic:nvPicPr>
                  <pic:blipFill>
                    <a:blip r:embed="rId6"/>
                    <a:stretch>
                      <a:fillRect/>
                    </a:stretch>
                  </pic:blipFill>
                  <pic:spPr>
                    <a:xfrm>
                      <a:off x="0" y="0"/>
                      <a:ext cx="5269230" cy="3342005"/>
                    </a:xfrm>
                    <a:prstGeom prst="rect">
                      <a:avLst/>
                    </a:prstGeom>
                  </pic:spPr>
                </pic:pic>
              </a:graphicData>
            </a:graphic>
          </wp:inline>
        </w:drawing>
      </w:r>
    </w:p>
    <w:p>
      <w:pPr>
        <w:spacing w:line="480" w:lineRule="auto"/>
        <w:ind w:firstLine="42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从上表折现图来看，</w:t>
      </w:r>
      <w:r>
        <w:rPr>
          <w:rFonts w:hint="eastAsia" w:ascii="仿宋" w:hAnsi="仿宋" w:eastAsia="仿宋" w:cs="仿宋"/>
          <w:sz w:val="24"/>
          <w:lang w:val="en-US" w:eastAsia="zh-CN"/>
        </w:rPr>
        <w:t>该产品的单位净值呈上升趋势，年化收益率随市场行情变化有所降低，但总体较平稳</w:t>
      </w:r>
      <w:r>
        <w:rPr>
          <w:rFonts w:hint="eastAsia" w:ascii="仿宋" w:hAnsi="仿宋" w:eastAsia="仿宋" w:cs="仿宋"/>
          <w:color w:val="auto"/>
          <w:sz w:val="24"/>
          <w:highlight w:val="none"/>
          <w:lang w:val="en-US" w:eastAsia="zh-CN"/>
        </w:rPr>
        <w:t>。截止报告期，该产品的单位净值为1.03809152。</w:t>
      </w:r>
    </w:p>
    <w:p>
      <w:pPr>
        <w:pStyle w:val="3"/>
        <w:numPr>
          <w:ilvl w:val="0"/>
          <w:numId w:val="2"/>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投资情况</w:t>
      </w:r>
    </w:p>
    <w:p>
      <w:pPr>
        <w:spacing w:line="48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该产品采取委外方式运作，委外投资以国君资管作为管理人，按照穿透原则</w:t>
      </w:r>
      <w:r>
        <w:rPr>
          <w:rFonts w:hint="eastAsia" w:ascii="仿宋" w:hAnsi="仿宋" w:eastAsia="仿宋" w:cs="仿宋"/>
          <w:color w:val="auto"/>
          <w:sz w:val="24"/>
          <w:highlight w:val="none"/>
        </w:rPr>
        <w:t>所投底层资产主要为银行间</w:t>
      </w:r>
      <w:r>
        <w:rPr>
          <w:rFonts w:hint="eastAsia" w:ascii="仿宋" w:hAnsi="仿宋" w:eastAsia="仿宋" w:cs="仿宋"/>
          <w:color w:val="auto"/>
          <w:sz w:val="24"/>
          <w:highlight w:val="none"/>
          <w:lang w:val="en-US" w:eastAsia="zh-CN"/>
        </w:rPr>
        <w:t>和交易所</w:t>
      </w:r>
      <w:r>
        <w:rPr>
          <w:rFonts w:hint="eastAsia" w:ascii="仿宋" w:hAnsi="仿宋" w:eastAsia="仿宋" w:cs="仿宋"/>
          <w:color w:val="auto"/>
          <w:sz w:val="24"/>
          <w:highlight w:val="none"/>
        </w:rPr>
        <w:t>市场企业债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企业债务融资工具、商业性金融债、政策性金融债和公司债等。</w:t>
      </w:r>
    </w:p>
    <w:p>
      <w:pPr>
        <w:spacing w:line="48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根据投资资产的融资主体来看，</w:t>
      </w:r>
      <w:r>
        <w:rPr>
          <w:rFonts w:hint="eastAsia" w:ascii="仿宋" w:hAnsi="仿宋" w:eastAsia="仿宋" w:cs="仿宋"/>
          <w:color w:val="auto"/>
          <w:sz w:val="24"/>
          <w:highlight w:val="none"/>
        </w:rPr>
        <w:t>融资主体</w:t>
      </w:r>
      <w:r>
        <w:rPr>
          <w:rFonts w:hint="eastAsia" w:ascii="仿宋" w:hAnsi="仿宋" w:eastAsia="仿宋" w:cs="仿宋"/>
          <w:color w:val="auto"/>
          <w:sz w:val="24"/>
          <w:highlight w:val="none"/>
          <w:lang w:val="en-US" w:eastAsia="zh-CN"/>
        </w:rPr>
        <w:t>基本</w:t>
      </w:r>
      <w:r>
        <w:rPr>
          <w:rFonts w:hint="eastAsia" w:ascii="仿宋" w:hAnsi="仿宋" w:eastAsia="仿宋" w:cs="仿宋"/>
          <w:color w:val="auto"/>
          <w:sz w:val="24"/>
          <w:highlight w:val="none"/>
        </w:rPr>
        <w:t>为地方国企，主体信用评级均在AA级（包含）以上。</w:t>
      </w:r>
    </w:p>
    <w:p>
      <w:pPr>
        <w:spacing w:line="48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按照证监会行业（大类）来分，底层资产涉及的行业主要包括建筑业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租赁和商务服务业、金融业、批发和零售业、制造业</w:t>
      </w:r>
      <w:r>
        <w:rPr>
          <w:rFonts w:hint="eastAsia" w:ascii="仿宋" w:hAnsi="仿宋" w:eastAsia="仿宋" w:cs="仿宋"/>
          <w:color w:val="auto"/>
          <w:sz w:val="24"/>
          <w:highlight w:val="none"/>
        </w:rPr>
        <w:t>等。</w:t>
      </w:r>
      <w:r>
        <w:rPr>
          <w:rFonts w:hint="eastAsia" w:ascii="仿宋" w:hAnsi="仿宋" w:eastAsia="仿宋" w:cs="仿宋"/>
          <w:color w:val="auto"/>
          <w:sz w:val="24"/>
          <w:highlight w:val="none"/>
          <w:lang w:val="en-US" w:eastAsia="zh-CN"/>
        </w:rPr>
        <w:t>所投资产全部符合监管规定及国家产业政策相关投资要求。</w:t>
      </w:r>
      <w:r>
        <w:rPr>
          <w:rFonts w:hint="eastAsia" w:ascii="仿宋" w:hAnsi="仿宋" w:eastAsia="仿宋" w:cs="仿宋"/>
          <w:color w:val="auto"/>
          <w:sz w:val="24"/>
          <w:highlight w:val="none"/>
        </w:rPr>
        <w:t>截止</w:t>
      </w:r>
      <w:r>
        <w:rPr>
          <w:rFonts w:hint="eastAsia" w:ascii="仿宋" w:hAnsi="仿宋" w:eastAsia="仿宋" w:cs="仿宋"/>
          <w:color w:val="auto"/>
          <w:sz w:val="24"/>
          <w:highlight w:val="none"/>
          <w:lang w:val="en-US" w:eastAsia="zh-CN"/>
        </w:rPr>
        <w:t>报告期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该产品委外投资存续金额为8,574.30万元人民币。</w:t>
      </w:r>
    </w:p>
    <w:p>
      <w:pPr>
        <w:spacing w:line="480" w:lineRule="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报告期，十大债券持仓明细：</w:t>
      </w:r>
    </w:p>
    <w:tbl>
      <w:tblPr>
        <w:tblStyle w:val="1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62"/>
        <w:gridCol w:w="1399"/>
        <w:gridCol w:w="1177"/>
        <w:gridCol w:w="1463"/>
        <w:gridCol w:w="121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ascii="仿宋" w:hAnsi="仿宋" w:eastAsia="仿宋" w:cs="仿宋"/>
                <w:color w:val="auto"/>
                <w:sz w:val="20"/>
                <w:szCs w:val="20"/>
                <w:highlight w:val="none"/>
              </w:rPr>
            </w:pPr>
            <w:r>
              <w:rPr>
                <w:rFonts w:hint="eastAsia" w:ascii="仿宋" w:hAnsi="仿宋" w:eastAsia="仿宋" w:cs="仿宋"/>
                <w:b/>
                <w:color w:val="auto"/>
                <w:sz w:val="20"/>
                <w:szCs w:val="20"/>
                <w:highlight w:val="none"/>
              </w:rPr>
              <w:t>序号</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ascii="仿宋" w:hAnsi="仿宋" w:eastAsia="仿宋" w:cs="仿宋"/>
                <w:color w:val="auto"/>
                <w:sz w:val="20"/>
                <w:szCs w:val="20"/>
                <w:highlight w:val="none"/>
              </w:rPr>
            </w:pPr>
            <w:r>
              <w:rPr>
                <w:rFonts w:hint="eastAsia" w:ascii="仿宋" w:hAnsi="仿宋" w:eastAsia="仿宋" w:cs="仿宋"/>
                <w:b/>
                <w:color w:val="auto"/>
                <w:sz w:val="20"/>
                <w:szCs w:val="20"/>
                <w:highlight w:val="none"/>
              </w:rPr>
              <w:t>名称</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ascii="仿宋" w:hAnsi="仿宋" w:eastAsia="仿宋" w:cs="仿宋"/>
                <w:color w:val="auto"/>
                <w:sz w:val="20"/>
                <w:szCs w:val="20"/>
                <w:highlight w:val="none"/>
              </w:rPr>
            </w:pPr>
            <w:r>
              <w:rPr>
                <w:rFonts w:hint="eastAsia" w:ascii="仿宋" w:hAnsi="仿宋" w:eastAsia="仿宋" w:cs="仿宋"/>
                <w:b/>
                <w:color w:val="auto"/>
                <w:sz w:val="20"/>
                <w:szCs w:val="20"/>
                <w:highlight w:val="none"/>
              </w:rPr>
              <w:t>代码</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ascii="仿宋" w:hAnsi="仿宋" w:eastAsia="仿宋" w:cs="仿宋"/>
                <w:color w:val="auto"/>
                <w:sz w:val="20"/>
                <w:szCs w:val="20"/>
                <w:highlight w:val="none"/>
              </w:rPr>
            </w:pPr>
            <w:r>
              <w:rPr>
                <w:rFonts w:hint="eastAsia" w:ascii="仿宋" w:hAnsi="仿宋" w:eastAsia="仿宋" w:cs="仿宋"/>
                <w:b/>
                <w:color w:val="auto"/>
                <w:sz w:val="20"/>
                <w:szCs w:val="20"/>
                <w:highlight w:val="none"/>
              </w:rPr>
              <w:t xml:space="preserve"> 数量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ascii="仿宋" w:hAnsi="仿宋" w:eastAsia="仿宋" w:cs="仿宋"/>
                <w:color w:val="auto"/>
                <w:sz w:val="20"/>
                <w:szCs w:val="20"/>
                <w:highlight w:val="none"/>
              </w:rPr>
            </w:pPr>
            <w:r>
              <w:rPr>
                <w:rFonts w:hint="eastAsia" w:ascii="仿宋" w:hAnsi="仿宋" w:eastAsia="仿宋" w:cs="仿宋"/>
                <w:b/>
                <w:color w:val="auto"/>
                <w:sz w:val="20"/>
                <w:szCs w:val="20"/>
                <w:highlight w:val="none"/>
              </w:rPr>
              <w:t>市 值（元）</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ascii="仿宋" w:hAnsi="仿宋" w:eastAsia="仿宋" w:cs="仿宋"/>
                <w:color w:val="auto"/>
                <w:sz w:val="20"/>
                <w:szCs w:val="20"/>
                <w:highlight w:val="none"/>
              </w:rPr>
            </w:pPr>
            <w:r>
              <w:rPr>
                <w:rFonts w:hint="eastAsia" w:ascii="仿宋" w:hAnsi="仿宋" w:eastAsia="仿宋" w:cs="仿宋"/>
                <w:b/>
                <w:color w:val="auto"/>
                <w:sz w:val="20"/>
                <w:szCs w:val="20"/>
                <w:highlight w:val="none"/>
              </w:rPr>
              <w:t>债券评级</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ascii="仿宋" w:hAnsi="仿宋" w:eastAsia="仿宋" w:cs="仿宋"/>
                <w:color w:val="auto"/>
                <w:sz w:val="20"/>
                <w:szCs w:val="20"/>
                <w:highlight w:val="none"/>
              </w:rPr>
            </w:pPr>
            <w:r>
              <w:rPr>
                <w:rFonts w:hint="eastAsia" w:ascii="仿宋" w:hAnsi="仿宋" w:eastAsia="仿宋" w:cs="仿宋"/>
                <w:b/>
                <w:color w:val="auto"/>
                <w:sz w:val="20"/>
                <w:szCs w:val="20"/>
                <w:highlight w:val="none"/>
              </w:rPr>
              <w:t>持有到期日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21国开07</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210207.IB </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30,783,737.70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AAA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2024/6/17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22渠县02</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194788.SH</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22,045,654.79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AA-（有担保，担保评级AA+）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2025/6/24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23德城01</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270045.SH </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21,419,479.45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23金阳投资MTN002</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102381210.IB </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21,152,163.93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2026/5/23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23上饶城投PPN001</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032380321.IB</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20,941,792.35</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AA+  </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2025/4/6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23咸宁高新CP001</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042380212.IB</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20,879,131.15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2024/4/10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7</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21蓉江建设MTN001</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102103186.IB </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20,772,918.03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8</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24延开01</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253903.SH </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20,071,835.62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2027-03-05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9</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PR万投01</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177043.SH </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12,719,506.89 </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2028/11/3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9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10</w:t>
            </w:r>
          </w:p>
        </w:tc>
        <w:tc>
          <w:tcPr>
            <w:tcW w:w="1362"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23任丘01</w:t>
            </w:r>
          </w:p>
        </w:tc>
        <w:tc>
          <w:tcPr>
            <w:tcW w:w="1399"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251154.SH </w:t>
            </w:r>
          </w:p>
        </w:tc>
        <w:tc>
          <w:tcPr>
            <w:tcW w:w="1177"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100,000.00 </w:t>
            </w:r>
          </w:p>
        </w:tc>
        <w:tc>
          <w:tcPr>
            <w:tcW w:w="1463"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10,953,917.81</w:t>
            </w:r>
          </w:p>
        </w:tc>
        <w:tc>
          <w:tcPr>
            <w:tcW w:w="1218"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AA</w:t>
            </w:r>
          </w:p>
        </w:tc>
        <w:tc>
          <w:tcPr>
            <w:tcW w:w="1374" w:type="dxa"/>
            <w:tcBorders>
              <w:top w:val="single" w:color="000000" w:sz="8" w:space="0"/>
              <w:left w:val="single" w:color="000000" w:sz="8" w:space="0"/>
              <w:bottom w:val="single" w:color="000000" w:sz="8" w:space="0"/>
              <w:right w:val="single" w:color="000000" w:sz="8" w:space="0"/>
            </w:tcBorders>
            <w:shd w:val="clear" w:color="auto" w:fill="auto"/>
            <w:tcMar>
              <w:left w:w="80" w:type="dxa"/>
              <w:right w:w="80" w:type="dxa"/>
            </w:tcMar>
            <w:vAlign w:val="center"/>
          </w:tcPr>
          <w:p>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2026/5/29</w:t>
            </w:r>
          </w:p>
        </w:tc>
      </w:tr>
    </w:tbl>
    <w:p>
      <w:pPr>
        <w:pStyle w:val="2"/>
        <w:numPr>
          <w:ilvl w:val="0"/>
          <w:numId w:val="1"/>
        </w:numPr>
        <w:rPr>
          <w:rFonts w:ascii="仿宋" w:hAnsi="仿宋" w:eastAsia="仿宋" w:cs="仿宋"/>
          <w:color w:val="auto"/>
          <w:sz w:val="28"/>
          <w:szCs w:val="28"/>
          <w:highlight w:val="none"/>
        </w:rPr>
      </w:pPr>
      <w:bookmarkStart w:id="1" w:name="_Toc27825"/>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杠杆情况</w:t>
      </w:r>
      <w:bookmarkEnd w:id="1"/>
    </w:p>
    <w:p>
      <w:pPr>
        <w:spacing w:line="48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截止报告期，</w:t>
      </w:r>
      <w:r>
        <w:rPr>
          <w:rFonts w:hint="eastAsia" w:ascii="仿宋" w:hAnsi="仿宋" w:eastAsia="仿宋" w:cs="仿宋"/>
          <w:color w:val="auto"/>
          <w:sz w:val="24"/>
          <w:highlight w:val="none"/>
          <w:lang w:val="en-US" w:eastAsia="zh-CN"/>
        </w:rPr>
        <w:t>该产品的</w:t>
      </w:r>
      <w:r>
        <w:rPr>
          <w:rFonts w:hint="eastAsia" w:ascii="仿宋" w:hAnsi="仿宋" w:eastAsia="仿宋" w:cs="仿宋"/>
          <w:color w:val="auto"/>
          <w:sz w:val="24"/>
          <w:highlight w:val="none"/>
        </w:rPr>
        <w:t>杠杆率为</w:t>
      </w:r>
      <w:r>
        <w:rPr>
          <w:rFonts w:hint="eastAsia" w:ascii="仿宋" w:hAnsi="仿宋" w:eastAsia="仿宋" w:cs="仿宋"/>
          <w:color w:val="auto"/>
          <w:sz w:val="24"/>
          <w:highlight w:val="none"/>
          <w:lang w:val="en-US" w:eastAsia="zh-CN"/>
        </w:rPr>
        <w:t>100.02%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杠杆率未超过</w:t>
      </w:r>
      <w:r>
        <w:rPr>
          <w:rFonts w:hint="eastAsia" w:ascii="仿宋" w:hAnsi="仿宋" w:eastAsia="仿宋" w:cs="仿宋"/>
          <w:color w:val="auto"/>
          <w:sz w:val="24"/>
          <w:highlight w:val="none"/>
          <w:lang w:val="en-US" w:eastAsia="zh-CN"/>
        </w:rPr>
        <w:t>资管新规要求的</w:t>
      </w:r>
      <w:r>
        <w:rPr>
          <w:rFonts w:hint="eastAsia" w:ascii="仿宋" w:hAnsi="仿宋" w:eastAsia="仿宋" w:cs="仿宋"/>
          <w:color w:val="auto"/>
          <w:sz w:val="24"/>
          <w:highlight w:val="none"/>
        </w:rPr>
        <w:t>140%，符合杠杆比例要求。</w:t>
      </w:r>
    </w:p>
    <w:p>
      <w:pPr>
        <w:pStyle w:val="2"/>
        <w:numPr>
          <w:ilvl w:val="0"/>
          <w:numId w:val="1"/>
        </w:numPr>
        <w:rPr>
          <w:rFonts w:ascii="仿宋" w:hAnsi="仿宋" w:eastAsia="仿宋" w:cs="仿宋"/>
          <w:color w:val="auto"/>
          <w:sz w:val="28"/>
          <w:szCs w:val="28"/>
          <w:highlight w:val="none"/>
        </w:rPr>
      </w:pPr>
      <w:bookmarkStart w:id="2" w:name="_Toc13108"/>
      <w:r>
        <w:rPr>
          <w:rFonts w:hint="eastAsia" w:ascii="仿宋" w:hAnsi="仿宋" w:eastAsia="仿宋" w:cs="仿宋"/>
          <w:color w:val="auto"/>
          <w:sz w:val="28"/>
          <w:szCs w:val="28"/>
          <w:highlight w:val="none"/>
          <w:lang w:val="en-US" w:eastAsia="zh-CN"/>
        </w:rPr>
        <w:t>产品流动性</w:t>
      </w:r>
      <w:r>
        <w:rPr>
          <w:rFonts w:hint="eastAsia" w:ascii="仿宋" w:hAnsi="仿宋" w:eastAsia="仿宋" w:cs="仿宋"/>
          <w:color w:val="auto"/>
          <w:sz w:val="28"/>
          <w:szCs w:val="28"/>
          <w:highlight w:val="none"/>
        </w:rPr>
        <w:t>风险</w:t>
      </w:r>
      <w:bookmarkEnd w:id="2"/>
      <w:r>
        <w:rPr>
          <w:rFonts w:hint="eastAsia" w:ascii="仿宋" w:hAnsi="仿宋" w:eastAsia="仿宋" w:cs="仿宋"/>
          <w:color w:val="auto"/>
          <w:sz w:val="28"/>
          <w:szCs w:val="28"/>
          <w:highlight w:val="none"/>
          <w:lang w:val="en-US" w:eastAsia="zh-CN"/>
        </w:rPr>
        <w:t>分析</w:t>
      </w:r>
    </w:p>
    <w:p>
      <w:pPr>
        <w:spacing w:line="480" w:lineRule="auto"/>
        <w:ind w:firstLine="420"/>
        <w:rPr>
          <w:rFonts w:ascii="仿宋" w:hAnsi="仿宋" w:eastAsia="仿宋" w:cs="仿宋"/>
          <w:color w:val="auto"/>
          <w:sz w:val="24"/>
          <w:highlight w:val="none"/>
        </w:rPr>
      </w:pPr>
      <w:bookmarkStart w:id="3" w:name="_Toc23345"/>
      <w:r>
        <w:rPr>
          <w:rFonts w:hint="eastAsia" w:ascii="仿宋" w:hAnsi="仿宋" w:eastAsia="仿宋" w:cs="仿宋"/>
          <w:color w:val="auto"/>
          <w:sz w:val="24"/>
          <w:highlight w:val="none"/>
        </w:rPr>
        <w:t>流动性风险是指资产需要变现时面临变现困难和不能在适当或期望的价格上变现，从而影响投资收益或不能支付投资者赎回款的风险。</w:t>
      </w:r>
    </w:p>
    <w:p>
      <w:pPr>
        <w:spacing w:line="48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 xml:space="preserve">流动性风险管理的目标是使产品整体流动性高于市场平均水平，从而确保组合资产的变现能力与投资者赎回需求的匹配与平衡。  </w:t>
      </w:r>
    </w:p>
    <w:p>
      <w:pPr>
        <w:numPr>
          <w:ilvl w:val="0"/>
          <w:numId w:val="3"/>
        </w:numPr>
        <w:spacing w:line="48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构建投资组合时，应当根据当前市场行情构建组合一定比例的高流动性资产。</w:t>
      </w:r>
    </w:p>
    <w:p>
      <w:pPr>
        <w:numPr>
          <w:ilvl w:val="0"/>
          <w:numId w:val="3"/>
        </w:numPr>
        <w:spacing w:line="48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关注产品的每日资金头寸，保持高流动性。</w:t>
      </w:r>
    </w:p>
    <w:p>
      <w:pPr>
        <w:numPr>
          <w:ilvl w:val="0"/>
          <w:numId w:val="3"/>
        </w:numPr>
        <w:spacing w:line="48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关注产品的期限错配情况，避免因期限错配比例过高导致的产品流动性风险。</w:t>
      </w:r>
    </w:p>
    <w:p>
      <w:pPr>
        <w:numPr>
          <w:ilvl w:val="0"/>
          <w:numId w:val="3"/>
        </w:numPr>
        <w:spacing w:line="48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定期对产品进行压力测试分析，关注信用风险和流动性风险的相关性，评估在压力或假设情景下对产品净值的冲击</w:t>
      </w:r>
      <w:r>
        <w:rPr>
          <w:rFonts w:hint="eastAsia" w:ascii="仿宋" w:hAnsi="仿宋" w:eastAsia="仿宋" w:cs="仿宋"/>
          <w:color w:val="auto"/>
          <w:sz w:val="24"/>
          <w:highlight w:val="none"/>
          <w:lang w:val="en-US" w:eastAsia="zh-CN"/>
        </w:rPr>
        <w:t>。</w:t>
      </w:r>
    </w:p>
    <w:bookmarkEnd w:id="3"/>
    <w:p>
      <w:pPr>
        <w:pStyle w:val="2"/>
        <w:numPr>
          <w:ilvl w:val="0"/>
          <w:numId w:val="1"/>
        </w:numPr>
        <w:rPr>
          <w:rFonts w:ascii="仿宋" w:hAnsi="仿宋" w:eastAsia="仿宋" w:cs="仿宋"/>
          <w:color w:val="auto"/>
          <w:sz w:val="28"/>
          <w:szCs w:val="28"/>
          <w:highlight w:val="none"/>
        </w:rPr>
      </w:pPr>
      <w:bookmarkStart w:id="4" w:name="_Toc15507"/>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后续管理计划</w:t>
      </w:r>
      <w:bookmarkEnd w:id="4"/>
    </w:p>
    <w:p>
      <w:pPr>
        <w:spacing w:line="480" w:lineRule="auto"/>
        <w:ind w:firstLine="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截止报告期，该产品存续5周期，总计存续金额8,574.30万元人民币。该支产品目前仍处于运作期，每期产品持有期限为35天，目前，</w:t>
      </w:r>
      <w:r>
        <w:rPr>
          <w:rFonts w:hint="eastAsia" w:ascii="仿宋" w:hAnsi="仿宋" w:eastAsia="仿宋" w:cs="仿宋"/>
          <w:sz w:val="24"/>
          <w:lang w:val="en-US" w:eastAsia="zh-CN"/>
        </w:rPr>
        <w:t>该产品的单位净值呈上升趋势，年化收益率随市场行情变化有所降低，但总体较平稳</w:t>
      </w:r>
      <w:r>
        <w:rPr>
          <w:rFonts w:hint="eastAsia" w:ascii="仿宋" w:hAnsi="仿宋" w:eastAsia="仿宋" w:cs="仿宋"/>
          <w:color w:val="auto"/>
          <w:sz w:val="24"/>
          <w:highlight w:val="none"/>
          <w:lang w:val="en-US" w:eastAsia="zh-CN"/>
        </w:rPr>
        <w:t>。</w:t>
      </w:r>
    </w:p>
    <w:p>
      <w:pPr>
        <w:spacing w:line="480" w:lineRule="auto"/>
        <w:ind w:firstLine="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后期就该支产品，需要做好对所投资产的每日跟踪与</w:t>
      </w:r>
      <w:r>
        <w:rPr>
          <w:rFonts w:hint="eastAsia" w:ascii="仿宋" w:hAnsi="仿宋" w:eastAsia="仿宋" w:cs="仿宋"/>
          <w:color w:val="auto"/>
          <w:sz w:val="24"/>
          <w:highlight w:val="none"/>
        </w:rPr>
        <w:t>盯市</w:t>
      </w:r>
      <w:r>
        <w:rPr>
          <w:rFonts w:hint="eastAsia" w:ascii="仿宋" w:hAnsi="仿宋" w:eastAsia="仿宋" w:cs="仿宋"/>
          <w:color w:val="auto"/>
          <w:sz w:val="24"/>
          <w:highlight w:val="none"/>
          <w:lang w:val="en-US" w:eastAsia="zh-CN"/>
        </w:rPr>
        <w:t>工作</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持续</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lang w:val="en-US" w:eastAsia="zh-CN"/>
        </w:rPr>
        <w:t>交易对手和</w:t>
      </w:r>
      <w:r>
        <w:rPr>
          <w:rFonts w:hint="eastAsia" w:ascii="仿宋" w:hAnsi="仿宋" w:eastAsia="仿宋" w:cs="仿宋"/>
          <w:color w:val="auto"/>
          <w:sz w:val="24"/>
          <w:highlight w:val="none"/>
        </w:rPr>
        <w:t>管理人进行沟通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对波动较大的债券与管理人做详尽了解，掌握净值波动的原因，及时调整投资策略。</w:t>
      </w:r>
    </w:p>
    <w:p>
      <w:pPr>
        <w:spacing w:line="480" w:lineRule="auto"/>
        <w:ind w:firstLine="420"/>
        <w:rPr>
          <w:rFonts w:hint="eastAsia" w:ascii="仿宋" w:hAnsi="仿宋" w:eastAsia="仿宋" w:cs="仿宋"/>
          <w:color w:val="auto"/>
          <w:sz w:val="24"/>
          <w:highlight w:val="none"/>
          <w:lang w:val="en-US" w:eastAsia="zh-CN"/>
        </w:rPr>
      </w:pPr>
    </w:p>
    <w:p>
      <w:pPr>
        <w:spacing w:line="480" w:lineRule="auto"/>
        <w:ind w:firstLine="42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零售业务部</w:t>
      </w:r>
    </w:p>
    <w:p>
      <w:pPr>
        <w:spacing w:line="480" w:lineRule="auto"/>
        <w:ind w:firstLine="420"/>
        <w:jc w:val="righ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2024年4月8日 </w:t>
      </w:r>
    </w:p>
    <w:p>
      <w:pPr>
        <w:spacing w:line="480" w:lineRule="auto"/>
        <w:ind w:firstLine="420"/>
        <w:rPr>
          <w:rFonts w:hint="eastAsia" w:ascii="仿宋" w:hAnsi="仿宋" w:eastAsia="仿宋" w:cs="仿宋"/>
          <w:color w:val="auto"/>
          <w:sz w:val="24"/>
          <w:highlight w:val="none"/>
          <w:lang w:val="en-US" w:eastAsia="zh-CN"/>
        </w:rPr>
      </w:pPr>
    </w:p>
    <w:p>
      <w:pPr>
        <w:spacing w:line="480" w:lineRule="auto"/>
        <w:ind w:firstLine="420"/>
        <w:rPr>
          <w:rFonts w:hint="eastAsia" w:ascii="仿宋" w:hAnsi="仿宋" w:eastAsia="仿宋" w:cs="仿宋"/>
          <w:color w:val="auto"/>
          <w:sz w:val="28"/>
          <w:szCs w:val="28"/>
          <w:highlight w:val="none"/>
          <w:lang w:val="en-US" w:eastAsia="zh-CN"/>
        </w:rPr>
      </w:pPr>
    </w:p>
    <w:p>
      <w:pPr>
        <w:spacing w:line="480" w:lineRule="auto"/>
        <w:ind w:firstLine="420"/>
        <w:jc w:val="right"/>
        <w:rPr>
          <w:rFonts w:hint="default"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lang w:val="en-US" w:eastAsia="zh-CN"/>
        </w:rPr>
        <w:t xml:space="preserve">                    </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56E1C"/>
    <w:multiLevelType w:val="singleLevel"/>
    <w:tmpl w:val="AD556E1C"/>
    <w:lvl w:ilvl="0" w:tentative="0">
      <w:start w:val="1"/>
      <w:numFmt w:val="chineseCounting"/>
      <w:suff w:val="nothing"/>
      <w:lvlText w:val="%1、"/>
      <w:lvlJc w:val="left"/>
      <w:pPr>
        <w:ind w:left="0" w:firstLine="420"/>
      </w:pPr>
      <w:rPr>
        <w:rFonts w:hint="eastAsia"/>
      </w:rPr>
    </w:lvl>
  </w:abstractNum>
  <w:abstractNum w:abstractNumId="1">
    <w:nsid w:val="17260A6F"/>
    <w:multiLevelType w:val="singleLevel"/>
    <w:tmpl w:val="17260A6F"/>
    <w:lvl w:ilvl="0" w:tentative="0">
      <w:start w:val="1"/>
      <w:numFmt w:val="decimal"/>
      <w:suff w:val="nothing"/>
      <w:lvlText w:val="%1）"/>
      <w:lvlJc w:val="left"/>
    </w:lvl>
  </w:abstractNum>
  <w:abstractNum w:abstractNumId="2">
    <w:nsid w:val="5F0537F7"/>
    <w:multiLevelType w:val="singleLevel"/>
    <w:tmpl w:val="5F0537F7"/>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mFiYjgzMTAxOTQ4ZGRjN2Y1MjRiYjBlNDg5MjgifQ=="/>
  </w:docVars>
  <w:rsids>
    <w:rsidRoot w:val="00172A27"/>
    <w:rsid w:val="0001769D"/>
    <w:rsid w:val="00156964"/>
    <w:rsid w:val="00197667"/>
    <w:rsid w:val="002003F9"/>
    <w:rsid w:val="002B2D3A"/>
    <w:rsid w:val="00313485"/>
    <w:rsid w:val="005638CC"/>
    <w:rsid w:val="00744EA3"/>
    <w:rsid w:val="007760CD"/>
    <w:rsid w:val="008D1710"/>
    <w:rsid w:val="009209A9"/>
    <w:rsid w:val="00A52242"/>
    <w:rsid w:val="00AC22F4"/>
    <w:rsid w:val="00AE4A51"/>
    <w:rsid w:val="00C470D6"/>
    <w:rsid w:val="00CA6947"/>
    <w:rsid w:val="01300F31"/>
    <w:rsid w:val="01580640"/>
    <w:rsid w:val="016A11B9"/>
    <w:rsid w:val="022445C0"/>
    <w:rsid w:val="0261410A"/>
    <w:rsid w:val="026E54E3"/>
    <w:rsid w:val="0348618A"/>
    <w:rsid w:val="03684334"/>
    <w:rsid w:val="03EB511B"/>
    <w:rsid w:val="040575F3"/>
    <w:rsid w:val="04836529"/>
    <w:rsid w:val="048F0141"/>
    <w:rsid w:val="054B265C"/>
    <w:rsid w:val="05567BCF"/>
    <w:rsid w:val="05A75F68"/>
    <w:rsid w:val="05B44650"/>
    <w:rsid w:val="05F139CC"/>
    <w:rsid w:val="06333F24"/>
    <w:rsid w:val="065E59F3"/>
    <w:rsid w:val="068B142A"/>
    <w:rsid w:val="06C43310"/>
    <w:rsid w:val="07057E7E"/>
    <w:rsid w:val="076D4D3B"/>
    <w:rsid w:val="084B3E36"/>
    <w:rsid w:val="0870294A"/>
    <w:rsid w:val="08783DF0"/>
    <w:rsid w:val="08824884"/>
    <w:rsid w:val="097525CD"/>
    <w:rsid w:val="09C06CB6"/>
    <w:rsid w:val="0A5368C8"/>
    <w:rsid w:val="0A747118"/>
    <w:rsid w:val="0AB24F41"/>
    <w:rsid w:val="0AB5138B"/>
    <w:rsid w:val="0ADF7FFD"/>
    <w:rsid w:val="0B0A7E67"/>
    <w:rsid w:val="0B332B30"/>
    <w:rsid w:val="0B854FE4"/>
    <w:rsid w:val="0C0D39B2"/>
    <w:rsid w:val="0C970180"/>
    <w:rsid w:val="0CEA6A63"/>
    <w:rsid w:val="0CEE31B2"/>
    <w:rsid w:val="0D3A4542"/>
    <w:rsid w:val="0D6C40D7"/>
    <w:rsid w:val="0D725B91"/>
    <w:rsid w:val="0D7C2E5F"/>
    <w:rsid w:val="0DCE01B1"/>
    <w:rsid w:val="0E1D162C"/>
    <w:rsid w:val="0E60146B"/>
    <w:rsid w:val="0E792F4F"/>
    <w:rsid w:val="0E7C567D"/>
    <w:rsid w:val="0ECF2C8F"/>
    <w:rsid w:val="10066A45"/>
    <w:rsid w:val="106F2810"/>
    <w:rsid w:val="10733881"/>
    <w:rsid w:val="1109301D"/>
    <w:rsid w:val="11264F43"/>
    <w:rsid w:val="113973D7"/>
    <w:rsid w:val="11491A1B"/>
    <w:rsid w:val="115F59AD"/>
    <w:rsid w:val="11DB182B"/>
    <w:rsid w:val="11FE4EDE"/>
    <w:rsid w:val="1258696A"/>
    <w:rsid w:val="12B12487"/>
    <w:rsid w:val="12BC0D20"/>
    <w:rsid w:val="132C10C6"/>
    <w:rsid w:val="14623130"/>
    <w:rsid w:val="147730EB"/>
    <w:rsid w:val="14BF1B7D"/>
    <w:rsid w:val="14C74C56"/>
    <w:rsid w:val="152C2D6B"/>
    <w:rsid w:val="15B16692"/>
    <w:rsid w:val="164778D6"/>
    <w:rsid w:val="16B66C6D"/>
    <w:rsid w:val="17102D53"/>
    <w:rsid w:val="17C6208D"/>
    <w:rsid w:val="18BC05FC"/>
    <w:rsid w:val="18EC3218"/>
    <w:rsid w:val="192E055A"/>
    <w:rsid w:val="19817A81"/>
    <w:rsid w:val="19A11C50"/>
    <w:rsid w:val="19E43915"/>
    <w:rsid w:val="1A82022A"/>
    <w:rsid w:val="1B844B27"/>
    <w:rsid w:val="1BA61489"/>
    <w:rsid w:val="1BF51319"/>
    <w:rsid w:val="1C932949"/>
    <w:rsid w:val="1CA37349"/>
    <w:rsid w:val="1CAD7D49"/>
    <w:rsid w:val="1D02496D"/>
    <w:rsid w:val="1D596426"/>
    <w:rsid w:val="1DA47A4B"/>
    <w:rsid w:val="1DBE6C3C"/>
    <w:rsid w:val="1DE33F41"/>
    <w:rsid w:val="1DED56B7"/>
    <w:rsid w:val="1E047C49"/>
    <w:rsid w:val="1E2E6200"/>
    <w:rsid w:val="1E4B4231"/>
    <w:rsid w:val="1EA27958"/>
    <w:rsid w:val="1EC04A2B"/>
    <w:rsid w:val="1EF659A6"/>
    <w:rsid w:val="1F4303D3"/>
    <w:rsid w:val="1F4849A4"/>
    <w:rsid w:val="1F672FA8"/>
    <w:rsid w:val="1F89617A"/>
    <w:rsid w:val="1FBB1EA9"/>
    <w:rsid w:val="1FD94373"/>
    <w:rsid w:val="1FE65FF3"/>
    <w:rsid w:val="20163EF6"/>
    <w:rsid w:val="20345BDB"/>
    <w:rsid w:val="21004E0A"/>
    <w:rsid w:val="21685B13"/>
    <w:rsid w:val="21B749F2"/>
    <w:rsid w:val="22262DF4"/>
    <w:rsid w:val="22A10C5C"/>
    <w:rsid w:val="22A76732"/>
    <w:rsid w:val="22AF1D3A"/>
    <w:rsid w:val="22C24A6D"/>
    <w:rsid w:val="2302744D"/>
    <w:rsid w:val="23597174"/>
    <w:rsid w:val="23713D9D"/>
    <w:rsid w:val="23735D67"/>
    <w:rsid w:val="247048F7"/>
    <w:rsid w:val="24AF4508"/>
    <w:rsid w:val="264C5E94"/>
    <w:rsid w:val="2669528D"/>
    <w:rsid w:val="26AE7324"/>
    <w:rsid w:val="278C4A54"/>
    <w:rsid w:val="28323E81"/>
    <w:rsid w:val="28670377"/>
    <w:rsid w:val="28C61D76"/>
    <w:rsid w:val="29844D69"/>
    <w:rsid w:val="29A51907"/>
    <w:rsid w:val="2A35533D"/>
    <w:rsid w:val="2A64770A"/>
    <w:rsid w:val="2A766862"/>
    <w:rsid w:val="2A9724EC"/>
    <w:rsid w:val="2AB24D21"/>
    <w:rsid w:val="2ABC1DA2"/>
    <w:rsid w:val="2AC05DA9"/>
    <w:rsid w:val="2B25769A"/>
    <w:rsid w:val="2B2A7653"/>
    <w:rsid w:val="2B444708"/>
    <w:rsid w:val="2B47118D"/>
    <w:rsid w:val="2B545308"/>
    <w:rsid w:val="2D0C44D3"/>
    <w:rsid w:val="2D2B2949"/>
    <w:rsid w:val="2DFF0B8F"/>
    <w:rsid w:val="2E7259D3"/>
    <w:rsid w:val="2F601896"/>
    <w:rsid w:val="2FAE7FFA"/>
    <w:rsid w:val="2FB32788"/>
    <w:rsid w:val="30155ABD"/>
    <w:rsid w:val="30672607"/>
    <w:rsid w:val="30B609B8"/>
    <w:rsid w:val="317C2EB9"/>
    <w:rsid w:val="318E639D"/>
    <w:rsid w:val="31C96BDC"/>
    <w:rsid w:val="31FD5A75"/>
    <w:rsid w:val="32122C79"/>
    <w:rsid w:val="3297558A"/>
    <w:rsid w:val="32A3559F"/>
    <w:rsid w:val="32AE7591"/>
    <w:rsid w:val="32B025B1"/>
    <w:rsid w:val="330773F8"/>
    <w:rsid w:val="336004E3"/>
    <w:rsid w:val="337D21C4"/>
    <w:rsid w:val="34240789"/>
    <w:rsid w:val="348D442B"/>
    <w:rsid w:val="34EC7E7C"/>
    <w:rsid w:val="35375B3F"/>
    <w:rsid w:val="3642723A"/>
    <w:rsid w:val="365A73B5"/>
    <w:rsid w:val="365D435D"/>
    <w:rsid w:val="366B52AD"/>
    <w:rsid w:val="368220F2"/>
    <w:rsid w:val="36E763F9"/>
    <w:rsid w:val="37824E84"/>
    <w:rsid w:val="381706AA"/>
    <w:rsid w:val="383566C1"/>
    <w:rsid w:val="389208AC"/>
    <w:rsid w:val="38A30FA1"/>
    <w:rsid w:val="38C9072E"/>
    <w:rsid w:val="38F629C0"/>
    <w:rsid w:val="39037E2E"/>
    <w:rsid w:val="39A608B4"/>
    <w:rsid w:val="39CA715F"/>
    <w:rsid w:val="39DC420F"/>
    <w:rsid w:val="3A5B4459"/>
    <w:rsid w:val="3ADA5B3E"/>
    <w:rsid w:val="3B6F0837"/>
    <w:rsid w:val="3BD83D42"/>
    <w:rsid w:val="3C91595E"/>
    <w:rsid w:val="3CEC29BB"/>
    <w:rsid w:val="3D542F2F"/>
    <w:rsid w:val="3DC60280"/>
    <w:rsid w:val="3DED53C6"/>
    <w:rsid w:val="3E1171C6"/>
    <w:rsid w:val="419F37B1"/>
    <w:rsid w:val="41AA19BC"/>
    <w:rsid w:val="424B38F0"/>
    <w:rsid w:val="42C05235"/>
    <w:rsid w:val="42EF105C"/>
    <w:rsid w:val="43277267"/>
    <w:rsid w:val="433724B6"/>
    <w:rsid w:val="43430E5B"/>
    <w:rsid w:val="437C2C6E"/>
    <w:rsid w:val="44083A67"/>
    <w:rsid w:val="440B5918"/>
    <w:rsid w:val="44441FAE"/>
    <w:rsid w:val="45053AAF"/>
    <w:rsid w:val="45117275"/>
    <w:rsid w:val="459B1F35"/>
    <w:rsid w:val="462C5BD6"/>
    <w:rsid w:val="463E1D93"/>
    <w:rsid w:val="46A40C5E"/>
    <w:rsid w:val="46B510EB"/>
    <w:rsid w:val="46BD186F"/>
    <w:rsid w:val="46E916E7"/>
    <w:rsid w:val="470473FF"/>
    <w:rsid w:val="472E597E"/>
    <w:rsid w:val="473818C9"/>
    <w:rsid w:val="47AA19C1"/>
    <w:rsid w:val="47B75BD7"/>
    <w:rsid w:val="47CA2A83"/>
    <w:rsid w:val="47CB2A3D"/>
    <w:rsid w:val="47DC229A"/>
    <w:rsid w:val="48130308"/>
    <w:rsid w:val="48D6594E"/>
    <w:rsid w:val="492A5A59"/>
    <w:rsid w:val="49615737"/>
    <w:rsid w:val="496967DC"/>
    <w:rsid w:val="498C5A8A"/>
    <w:rsid w:val="49EA64D4"/>
    <w:rsid w:val="4AFD4364"/>
    <w:rsid w:val="4B284241"/>
    <w:rsid w:val="4BC95AE5"/>
    <w:rsid w:val="4BCB5E91"/>
    <w:rsid w:val="4BCC5903"/>
    <w:rsid w:val="4BDB60D4"/>
    <w:rsid w:val="4BFF76BB"/>
    <w:rsid w:val="4C3C28EB"/>
    <w:rsid w:val="4D2274EC"/>
    <w:rsid w:val="4E516B22"/>
    <w:rsid w:val="4E957533"/>
    <w:rsid w:val="4EEE06DF"/>
    <w:rsid w:val="4F0C3A62"/>
    <w:rsid w:val="4F46653E"/>
    <w:rsid w:val="4FCA69DE"/>
    <w:rsid w:val="4FD625CF"/>
    <w:rsid w:val="50B20CF3"/>
    <w:rsid w:val="50DB7BEE"/>
    <w:rsid w:val="516F1791"/>
    <w:rsid w:val="51BA5AB6"/>
    <w:rsid w:val="51D27F79"/>
    <w:rsid w:val="51DC5959"/>
    <w:rsid w:val="52310767"/>
    <w:rsid w:val="52377DDC"/>
    <w:rsid w:val="52801D82"/>
    <w:rsid w:val="52A805EC"/>
    <w:rsid w:val="53064BBE"/>
    <w:rsid w:val="545F6488"/>
    <w:rsid w:val="547F46C7"/>
    <w:rsid w:val="54AB5B9A"/>
    <w:rsid w:val="55121A7A"/>
    <w:rsid w:val="554A76CE"/>
    <w:rsid w:val="55731B14"/>
    <w:rsid w:val="55AD03B6"/>
    <w:rsid w:val="55B61CCC"/>
    <w:rsid w:val="55FA4A1E"/>
    <w:rsid w:val="56344D04"/>
    <w:rsid w:val="566F7155"/>
    <w:rsid w:val="56CB3E6B"/>
    <w:rsid w:val="56D66D0F"/>
    <w:rsid w:val="56E65920"/>
    <w:rsid w:val="57012EB9"/>
    <w:rsid w:val="570323E9"/>
    <w:rsid w:val="57070559"/>
    <w:rsid w:val="574A7260"/>
    <w:rsid w:val="5752665B"/>
    <w:rsid w:val="577E70F5"/>
    <w:rsid w:val="5864660A"/>
    <w:rsid w:val="58744084"/>
    <w:rsid w:val="58BF3DE5"/>
    <w:rsid w:val="58C63C68"/>
    <w:rsid w:val="59453D6E"/>
    <w:rsid w:val="594C2B4B"/>
    <w:rsid w:val="5963595B"/>
    <w:rsid w:val="598A6F12"/>
    <w:rsid w:val="59C84DD8"/>
    <w:rsid w:val="5A81380F"/>
    <w:rsid w:val="5ADB3366"/>
    <w:rsid w:val="5AE7342E"/>
    <w:rsid w:val="5B3035E4"/>
    <w:rsid w:val="5C032D84"/>
    <w:rsid w:val="5CB3796F"/>
    <w:rsid w:val="5CB40A59"/>
    <w:rsid w:val="5D836AE6"/>
    <w:rsid w:val="5E1D78E5"/>
    <w:rsid w:val="5E717E08"/>
    <w:rsid w:val="5F7766F6"/>
    <w:rsid w:val="5F8F61F8"/>
    <w:rsid w:val="5FC82BE5"/>
    <w:rsid w:val="60E90414"/>
    <w:rsid w:val="610A69B3"/>
    <w:rsid w:val="611A74A0"/>
    <w:rsid w:val="61855F57"/>
    <w:rsid w:val="61BC7310"/>
    <w:rsid w:val="61BE0452"/>
    <w:rsid w:val="62116037"/>
    <w:rsid w:val="6291178B"/>
    <w:rsid w:val="630A5F60"/>
    <w:rsid w:val="635B0FF6"/>
    <w:rsid w:val="638C7D6A"/>
    <w:rsid w:val="64431BB7"/>
    <w:rsid w:val="64741728"/>
    <w:rsid w:val="648C57FC"/>
    <w:rsid w:val="64FE10EC"/>
    <w:rsid w:val="65065BB5"/>
    <w:rsid w:val="65131FC1"/>
    <w:rsid w:val="65561171"/>
    <w:rsid w:val="65993895"/>
    <w:rsid w:val="65DF25A4"/>
    <w:rsid w:val="65E06891"/>
    <w:rsid w:val="65F162D1"/>
    <w:rsid w:val="6688197E"/>
    <w:rsid w:val="66E42D65"/>
    <w:rsid w:val="670D26FD"/>
    <w:rsid w:val="67F1453C"/>
    <w:rsid w:val="6817628E"/>
    <w:rsid w:val="68202446"/>
    <w:rsid w:val="683653AD"/>
    <w:rsid w:val="68456CAB"/>
    <w:rsid w:val="68B86ED0"/>
    <w:rsid w:val="697319D4"/>
    <w:rsid w:val="69DF50FC"/>
    <w:rsid w:val="6A1550DB"/>
    <w:rsid w:val="6A4F6D67"/>
    <w:rsid w:val="6B0D355D"/>
    <w:rsid w:val="6B4133EA"/>
    <w:rsid w:val="6B8D478D"/>
    <w:rsid w:val="6BC04885"/>
    <w:rsid w:val="6C147047"/>
    <w:rsid w:val="6C1A3CF4"/>
    <w:rsid w:val="6C343B69"/>
    <w:rsid w:val="6C367F78"/>
    <w:rsid w:val="6C542029"/>
    <w:rsid w:val="6CF762EB"/>
    <w:rsid w:val="6D272D8E"/>
    <w:rsid w:val="6D417909"/>
    <w:rsid w:val="6D471863"/>
    <w:rsid w:val="6D8D0C88"/>
    <w:rsid w:val="6DC6614E"/>
    <w:rsid w:val="6DE67BDD"/>
    <w:rsid w:val="6DFB20D7"/>
    <w:rsid w:val="6E264234"/>
    <w:rsid w:val="6ECA3A9E"/>
    <w:rsid w:val="6F4240ED"/>
    <w:rsid w:val="6F6049E0"/>
    <w:rsid w:val="6F923011"/>
    <w:rsid w:val="6FBB7E47"/>
    <w:rsid w:val="6FDF283C"/>
    <w:rsid w:val="70403533"/>
    <w:rsid w:val="70726075"/>
    <w:rsid w:val="70CE1F04"/>
    <w:rsid w:val="70D52CAA"/>
    <w:rsid w:val="71212547"/>
    <w:rsid w:val="71EC05D4"/>
    <w:rsid w:val="722D6C8E"/>
    <w:rsid w:val="7285473C"/>
    <w:rsid w:val="73955323"/>
    <w:rsid w:val="739E78B3"/>
    <w:rsid w:val="73B42DCE"/>
    <w:rsid w:val="73C34988"/>
    <w:rsid w:val="73D96EFF"/>
    <w:rsid w:val="73E13012"/>
    <w:rsid w:val="743B3304"/>
    <w:rsid w:val="74D135ED"/>
    <w:rsid w:val="74FF4332"/>
    <w:rsid w:val="75563A35"/>
    <w:rsid w:val="7562359F"/>
    <w:rsid w:val="75982E37"/>
    <w:rsid w:val="75A45C11"/>
    <w:rsid w:val="7625601A"/>
    <w:rsid w:val="76432944"/>
    <w:rsid w:val="76722BB7"/>
    <w:rsid w:val="76991D58"/>
    <w:rsid w:val="76CC0B8C"/>
    <w:rsid w:val="76E67CFB"/>
    <w:rsid w:val="77022EB6"/>
    <w:rsid w:val="77362971"/>
    <w:rsid w:val="77EA0CA7"/>
    <w:rsid w:val="77F057EB"/>
    <w:rsid w:val="77F54993"/>
    <w:rsid w:val="77FC2DAB"/>
    <w:rsid w:val="78982D7E"/>
    <w:rsid w:val="78CA1388"/>
    <w:rsid w:val="78E33FD5"/>
    <w:rsid w:val="794A7FC1"/>
    <w:rsid w:val="79A41D56"/>
    <w:rsid w:val="7A3C1B84"/>
    <w:rsid w:val="7A8258BF"/>
    <w:rsid w:val="7ACE4ED2"/>
    <w:rsid w:val="7AD01520"/>
    <w:rsid w:val="7AD7540D"/>
    <w:rsid w:val="7AEB6490"/>
    <w:rsid w:val="7B037989"/>
    <w:rsid w:val="7B3F10F9"/>
    <w:rsid w:val="7B7D4202"/>
    <w:rsid w:val="7B86755B"/>
    <w:rsid w:val="7C0766DB"/>
    <w:rsid w:val="7C0F1A59"/>
    <w:rsid w:val="7C3468B3"/>
    <w:rsid w:val="7D2360AA"/>
    <w:rsid w:val="7D6F2DD5"/>
    <w:rsid w:val="7D777F4F"/>
    <w:rsid w:val="7DF82266"/>
    <w:rsid w:val="7E194502"/>
    <w:rsid w:val="7E3C3BF3"/>
    <w:rsid w:val="7EC47B25"/>
    <w:rsid w:val="7EDA0B38"/>
    <w:rsid w:val="7F08297D"/>
    <w:rsid w:val="7F4C683D"/>
    <w:rsid w:val="7FB51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5">
    <w:name w:val="Plain Text"/>
    <w:basedOn w:val="1"/>
    <w:autoRedefine/>
    <w:unhideWhenUsed/>
    <w:qFormat/>
    <w:uiPriority w:val="0"/>
    <w:rPr>
      <w:rFonts w:ascii="宋体" w:hAnsi="Courier New" w:cs="Times New Roman"/>
      <w:szCs w:val="20"/>
    </w:rPr>
  </w:style>
  <w:style w:type="paragraph" w:styleId="6">
    <w:name w:val="Date"/>
    <w:basedOn w:val="1"/>
    <w:next w:val="1"/>
    <w:link w:val="22"/>
    <w:autoRedefine/>
    <w:qFormat/>
    <w:uiPriority w:val="0"/>
    <w:pPr>
      <w:ind w:left="100" w:leftChars="2500"/>
    </w:pPr>
  </w:style>
  <w:style w:type="paragraph" w:styleId="7">
    <w:name w:val="Balloon Text"/>
    <w:basedOn w:val="1"/>
    <w:link w:val="20"/>
    <w:autoRedefine/>
    <w:qFormat/>
    <w:uiPriority w:val="0"/>
    <w:rPr>
      <w:sz w:val="18"/>
      <w:szCs w:val="18"/>
    </w:r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dot" w:pos="8296"/>
      </w:tabs>
      <w:spacing w:line="480" w:lineRule="auto"/>
    </w:pPr>
    <w:rPr>
      <w:rFonts w:ascii="仿宋" w:hAnsi="仿宋" w:eastAsia="仿宋" w:cs="仿宋"/>
      <w:b/>
      <w:bCs/>
      <w:sz w:val="24"/>
    </w:rPr>
  </w:style>
  <w:style w:type="paragraph" w:styleId="11">
    <w:name w:val="toc 2"/>
    <w:basedOn w:val="1"/>
    <w:next w:val="1"/>
    <w:autoRedefine/>
    <w:qFormat/>
    <w:uiPriority w:val="39"/>
    <w:pPr>
      <w:ind w:left="420" w:left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paragraph" w:customStyle="1" w:styleId="17">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8">
    <w:name w:val="页眉 字符"/>
    <w:basedOn w:val="14"/>
    <w:link w:val="9"/>
    <w:autoRedefine/>
    <w:qFormat/>
    <w:uiPriority w:val="99"/>
    <w:rPr>
      <w:kern w:val="2"/>
      <w:sz w:val="18"/>
      <w:szCs w:val="18"/>
    </w:rPr>
  </w:style>
  <w:style w:type="character" w:customStyle="1" w:styleId="19">
    <w:name w:val="页脚 字符"/>
    <w:basedOn w:val="14"/>
    <w:link w:val="8"/>
    <w:autoRedefine/>
    <w:qFormat/>
    <w:uiPriority w:val="0"/>
    <w:rPr>
      <w:kern w:val="2"/>
      <w:sz w:val="18"/>
      <w:szCs w:val="18"/>
    </w:rPr>
  </w:style>
  <w:style w:type="character" w:customStyle="1" w:styleId="20">
    <w:name w:val="批注框文本 字符"/>
    <w:basedOn w:val="14"/>
    <w:link w:val="7"/>
    <w:autoRedefine/>
    <w:qFormat/>
    <w:uiPriority w:val="0"/>
    <w:rPr>
      <w:rFonts w:asciiTheme="minorHAnsi" w:hAnsiTheme="minorHAnsi" w:eastAsiaTheme="minorEastAsia" w:cstheme="minorBidi"/>
      <w:kern w:val="2"/>
      <w:sz w:val="18"/>
      <w:szCs w:val="18"/>
    </w:rPr>
  </w:style>
  <w:style w:type="paragraph" w:customStyle="1" w:styleId="21">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22">
    <w:name w:val="日期 字符"/>
    <w:basedOn w:val="14"/>
    <w:link w:val="6"/>
    <w:autoRedefine/>
    <w:qFormat/>
    <w:uiPriority w:val="0"/>
    <w:rPr>
      <w:rFonts w:asciiTheme="minorHAnsi" w:hAnsiTheme="minorHAnsi" w:eastAsiaTheme="minorEastAsia" w:cstheme="minorBidi"/>
      <w:kern w:val="2"/>
      <w:sz w:val="21"/>
      <w:szCs w:val="24"/>
    </w:rPr>
  </w:style>
  <w:style w:type="character" w:customStyle="1" w:styleId="23">
    <w:name w:val="font11"/>
    <w:basedOn w:val="14"/>
    <w:autoRedefine/>
    <w:qFormat/>
    <w:uiPriority w:val="0"/>
    <w:rPr>
      <w:rFonts w:hint="eastAsia" w:ascii="宋体" w:hAnsi="宋体" w:eastAsia="宋体" w:cs="宋体"/>
      <w:color w:val="000000"/>
      <w:sz w:val="21"/>
      <w:szCs w:val="21"/>
      <w:u w:val="none"/>
    </w:rPr>
  </w:style>
  <w:style w:type="character" w:customStyle="1" w:styleId="24">
    <w:name w:val="font2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45EE8-5D30-4036-847A-67E3ECDAB812}">
  <ds:schemaRefs/>
</ds:datastoreItem>
</file>

<file path=docProps/app.xml><?xml version="1.0" encoding="utf-8"?>
<Properties xmlns="http://schemas.openxmlformats.org/officeDocument/2006/extended-properties" xmlns:vt="http://schemas.openxmlformats.org/officeDocument/2006/docPropsVTypes">
  <Template>Normal</Template>
  <Pages>6</Pages>
  <Words>1267</Words>
  <Characters>1804</Characters>
  <Lines>60</Lines>
  <Paragraphs>16</Paragraphs>
  <TotalTime>5</TotalTime>
  <ScaleCrop>false</ScaleCrop>
  <LinksUpToDate>false</LinksUpToDate>
  <CharactersWithSpaces>1927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2020-04-07T01:56:00Z</dcterms:created>
  <dc:creator>Jasmine Liu</dc:creator>
  <cp:lastModifiedBy>WPS_1698830121</cp:lastModifiedBy>
  <cp:lastPrinted>2024-01-05T03:42:00Z</cp:lastPrinted>
  <dcterms:modified xsi:type="dcterms:W3CDTF">2024-04-07T04:02:05Z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664A3BF423E24428BB2151044D8383AF_13</vt:lpwstr>
  </property>
</Properties>
</file>